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4D85F" w14:textId="2084EBA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 w:rsidR="00A03CB9" w:rsidRPr="00A03CB9">
        <w:rPr>
          <w:sz w:val="32"/>
          <w:szCs w:val="32"/>
          <w:lang w:val="en-US"/>
        </w:rPr>
        <w:t>R2-1807659</w:t>
      </w:r>
    </w:p>
    <w:p w14:paraId="7F4D995D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5F017181" w14:textId="77777777" w:rsidR="00E90E49" w:rsidRPr="00CE0424" w:rsidRDefault="00E90E49" w:rsidP="00357380">
      <w:pPr>
        <w:pStyle w:val="3GPPHeader"/>
      </w:pPr>
    </w:p>
    <w:p w14:paraId="556C5148" w14:textId="6E456096" w:rsidR="00E90E49" w:rsidRPr="007F3ADB" w:rsidRDefault="00E90E49" w:rsidP="00311702">
      <w:pPr>
        <w:pStyle w:val="3GPPHeader"/>
        <w:rPr>
          <w:sz w:val="22"/>
          <w:szCs w:val="22"/>
          <w:lang w:val="sv-SE"/>
        </w:rPr>
      </w:pPr>
      <w:r w:rsidRPr="007F3ADB">
        <w:rPr>
          <w:sz w:val="22"/>
          <w:szCs w:val="22"/>
          <w:lang w:val="sv-SE"/>
        </w:rPr>
        <w:t>Agenda Item:</w:t>
      </w:r>
      <w:r w:rsidRPr="007F3ADB">
        <w:rPr>
          <w:sz w:val="22"/>
          <w:szCs w:val="22"/>
          <w:lang w:val="sv-SE"/>
        </w:rPr>
        <w:tab/>
      </w:r>
      <w:r w:rsidR="00936D9F" w:rsidRPr="00936D9F">
        <w:rPr>
          <w:sz w:val="22"/>
          <w:szCs w:val="22"/>
          <w:lang w:val="sv-SE"/>
        </w:rPr>
        <w:t>10.4.1.1</w:t>
      </w:r>
    </w:p>
    <w:p w14:paraId="377714D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6671B6" w14:textId="10EC0999" w:rsidR="00E90E49" w:rsidRPr="00A03CB9" w:rsidRDefault="003D3C45" w:rsidP="00311702">
      <w:pPr>
        <w:pStyle w:val="3GPPHeader"/>
        <w:rPr>
          <w:sz w:val="22"/>
          <w:szCs w:val="22"/>
        </w:rPr>
      </w:pPr>
      <w:r w:rsidRPr="00A03CB9">
        <w:rPr>
          <w:sz w:val="22"/>
          <w:szCs w:val="22"/>
        </w:rPr>
        <w:t>Title:</w:t>
      </w:r>
      <w:r w:rsidR="00E90E49" w:rsidRPr="00A03CB9">
        <w:rPr>
          <w:sz w:val="22"/>
          <w:szCs w:val="22"/>
        </w:rPr>
        <w:tab/>
      </w:r>
      <w:r w:rsidR="00A03CB9" w:rsidRPr="00A03CB9">
        <w:rPr>
          <w:sz w:val="22"/>
          <w:szCs w:val="22"/>
        </w:rPr>
        <w:t>Considerations on SA NR interaction with EN-DC</w:t>
      </w:r>
    </w:p>
    <w:p w14:paraId="6B25408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03CB9">
        <w:rPr>
          <w:sz w:val="22"/>
          <w:szCs w:val="22"/>
        </w:rPr>
        <w:t>Document for:</w:t>
      </w:r>
      <w:r w:rsidRPr="00A03CB9">
        <w:rPr>
          <w:sz w:val="22"/>
          <w:szCs w:val="22"/>
        </w:rPr>
        <w:tab/>
        <w:t>Discussion, Decision</w:t>
      </w:r>
    </w:p>
    <w:p w14:paraId="0F28C2ED" w14:textId="77777777" w:rsidR="00E90E49" w:rsidRPr="00CE0424" w:rsidRDefault="00E90E49" w:rsidP="00E90E49"/>
    <w:p w14:paraId="29CAAFC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C6292D" w14:textId="77777777" w:rsidR="00477768" w:rsidRDefault="001D3EA4" w:rsidP="00CE0424">
      <w:pPr>
        <w:pStyle w:val="BodyText"/>
      </w:pPr>
      <w:r>
        <w:t>RAN2 discussed in RAN2#101bis about finalization of RRC specification and CRs until end of Rel-15 based on contribution [1].   The following agreements were made:</w:t>
      </w:r>
    </w:p>
    <w:p w14:paraId="502692EA" w14:textId="77777777" w:rsidR="001D3EA4" w:rsidRDefault="001D3EA4" w:rsidP="001D3EA4">
      <w:pPr>
        <w:pStyle w:val="Doc-text2"/>
      </w:pPr>
    </w:p>
    <w:p w14:paraId="72DF069A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710D3BDA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LTE and NR, 1 RRC CR with EN-DC corrections will be submitted to RAN for approval in June</w:t>
      </w:r>
    </w:p>
    <w:p w14:paraId="23BE086B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NR, RRC CR with SA changes will be submitted to RAN for information but not for approval in June</w:t>
      </w:r>
    </w:p>
    <w:p w14:paraId="4C55ABD7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Pr="001D08D1">
        <w:tab/>
        <w:t xml:space="preserve">For </w:t>
      </w:r>
      <w:r>
        <w:t>LTE</w:t>
      </w:r>
      <w:r w:rsidRPr="001D08D1">
        <w:t>, RRC CR</w:t>
      </w:r>
      <w:r>
        <w:t>s for LTE WIs w</w:t>
      </w:r>
      <w:r w:rsidRPr="001D08D1">
        <w:t>ill be submitted to RAN for information but not for approval in June</w:t>
      </w:r>
    </w:p>
    <w:p w14:paraId="0DAE2F13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For LTE and NR, interim versions of the specs will be created including both all CRs and used by RAN2 for the purpose of ASN.1 review in Q3.</w:t>
      </w:r>
    </w:p>
    <w:p w14:paraId="6E50A8D1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This process does not impact the WI completion (e.g. could use the 99% complete approach)</w:t>
      </w:r>
    </w:p>
    <w:p w14:paraId="27694D9E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To be decided if for LTE WIs we want to submit CRs for other specs for approval and accept a mis-alignment between RRC and other RAN2 specs. </w:t>
      </w:r>
    </w:p>
    <w:p w14:paraId="0DD36B43" w14:textId="77777777" w:rsidR="001D3EA4" w:rsidRDefault="001D3EA4" w:rsidP="001D3E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To be decided if for other CRs will be submitted for approval for other NR specs.</w:t>
      </w:r>
    </w:p>
    <w:p w14:paraId="02C69A0C" w14:textId="77777777" w:rsidR="001D3EA4" w:rsidRDefault="001D3EA4" w:rsidP="001D3EA4">
      <w:pPr>
        <w:pStyle w:val="Doc-text2"/>
      </w:pPr>
      <w:r>
        <w:t>=&gt;</w:t>
      </w:r>
      <w:r>
        <w:tab/>
        <w:t>Discuss FFS points offline</w:t>
      </w:r>
    </w:p>
    <w:p w14:paraId="18107463" w14:textId="77777777" w:rsidR="001D3EA4" w:rsidRDefault="001D3EA4" w:rsidP="001D3EA4">
      <w:pPr>
        <w:pStyle w:val="Doc-text2"/>
      </w:pPr>
      <w:r>
        <w:t>=&gt;</w:t>
      </w:r>
      <w:r>
        <w:tab/>
        <w:t>Discuss the plan for how changes should be proposed for the RAN2#102 meeting (e.g. submit TPs relative to a running CR)</w:t>
      </w:r>
    </w:p>
    <w:p w14:paraId="4A4DAC05" w14:textId="77777777" w:rsidR="001D3EA4" w:rsidRDefault="001D3EA4" w:rsidP="001D3EA4">
      <w:pPr>
        <w:pStyle w:val="Doc-text2"/>
      </w:pPr>
      <w:r>
        <w:t>-</w:t>
      </w:r>
      <w:r>
        <w:tab/>
        <w:t>Update from offline</w:t>
      </w:r>
    </w:p>
    <w:p w14:paraId="20CD132F" w14:textId="77777777" w:rsidR="001D3EA4" w:rsidRPr="00933C14" w:rsidRDefault="001D3EA4" w:rsidP="001D3EA4">
      <w:pPr>
        <w:pStyle w:val="Doc-text2"/>
      </w:pPr>
      <w:r>
        <w:t>=&gt;</w:t>
      </w:r>
      <w:r>
        <w:tab/>
        <w:t>CR to specs other than RRC will be submitted to RAN for approval</w:t>
      </w:r>
    </w:p>
    <w:p w14:paraId="7665C3F8" w14:textId="77777777" w:rsidR="001D3EA4" w:rsidRDefault="001D3EA4" w:rsidP="00CE0424">
      <w:pPr>
        <w:pStyle w:val="BodyText"/>
      </w:pPr>
    </w:p>
    <w:p w14:paraId="391BEF64" w14:textId="60B26208" w:rsidR="001D3EA4" w:rsidRDefault="001D3EA4" w:rsidP="00CE0424">
      <w:pPr>
        <w:pStyle w:val="BodyText"/>
      </w:pPr>
      <w:r>
        <w:t xml:space="preserve">In </w:t>
      </w:r>
      <w:r w:rsidR="005C78DB">
        <w:t xml:space="preserve">[1], it was discussed how standalone NR should be introduced to RRC specification by September 2018. As agreed, standalone NR would be kept as running CR until </w:t>
      </w:r>
      <w:r w:rsidR="00F71FBC">
        <w:t>September 2018</w:t>
      </w:r>
      <w:r w:rsidR="005C78DB">
        <w:t xml:space="preserve"> as the RRC specification is frozen. In addition, in [1] it was proposed SA should be added to RRC in back-wards compatible manner. That means that non-critical extensions and extension markers should be used. </w:t>
      </w:r>
    </w:p>
    <w:p w14:paraId="0EC2A112" w14:textId="64DEE5C7" w:rsidR="005C78DB" w:rsidRDefault="005C78DB" w:rsidP="005C78DB">
      <w:pPr>
        <w:pStyle w:val="Proposal"/>
      </w:pPr>
      <w:bookmarkStart w:id="0" w:name="_Toc513741017"/>
      <w:r>
        <w:t xml:space="preserve">Confirm that standalone NR is added </w:t>
      </w:r>
      <w:r w:rsidR="004D0CEB">
        <w:t>in backwards compatible manner to RRC specification (</w:t>
      </w:r>
      <w:r w:rsidR="001D7445">
        <w:t>implying</w:t>
      </w:r>
      <w:r w:rsidR="004D0CEB">
        <w:t xml:space="preserve"> that non-critical extensions</w:t>
      </w:r>
      <w:r w:rsidR="001D7445">
        <w:t xml:space="preserve"> and extension brackets</w:t>
      </w:r>
      <w:r w:rsidR="004D0CEB">
        <w:t xml:space="preserve"> are used)</w:t>
      </w:r>
      <w:bookmarkEnd w:id="0"/>
    </w:p>
    <w:p w14:paraId="4796DEF2" w14:textId="2B10870B" w:rsidR="005C78DB" w:rsidRDefault="005C78DB" w:rsidP="00CE0424">
      <w:pPr>
        <w:pStyle w:val="BodyText"/>
      </w:pPr>
      <w:r>
        <w:t xml:space="preserve">On the other hand, earlier RAN2 agreed that </w:t>
      </w:r>
      <w:r w:rsidR="000808CF">
        <w:t xml:space="preserve">the early version of </w:t>
      </w:r>
      <w:r>
        <w:t xml:space="preserve">RRC specification </w:t>
      </w:r>
      <w:r w:rsidR="000808CF">
        <w:t>for</w:t>
      </w:r>
      <w:r>
        <w:t xml:space="preserve"> EN-DC would include only SCG configuration and parameters</w:t>
      </w:r>
      <w:r w:rsidR="000808CF">
        <w:t xml:space="preserve"> only</w:t>
      </w:r>
      <w:r>
        <w:t xml:space="preserve"> related to EN-DC. Because of this, MCG configuration as well as some other parameters </w:t>
      </w:r>
      <w:r w:rsidR="001F77CD">
        <w:t>(</w:t>
      </w:r>
      <w:proofErr w:type="spellStart"/>
      <w:r w:rsidR="001F77CD">
        <w:t>fullConfig</w:t>
      </w:r>
      <w:proofErr w:type="spellEnd"/>
      <w:r w:rsidR="001F77CD">
        <w:t xml:space="preserve">, </w:t>
      </w:r>
      <w:proofErr w:type="spellStart"/>
      <w:r w:rsidR="001F77CD">
        <w:t>otherConfig</w:t>
      </w:r>
      <w:proofErr w:type="spellEnd"/>
      <w:r w:rsidR="001F77CD">
        <w:t xml:space="preserve">) </w:t>
      </w:r>
      <w:r>
        <w:t xml:space="preserve">were removed </w:t>
      </w:r>
      <w:r w:rsidR="001F77CD">
        <w:t xml:space="preserve">from the running CR. </w:t>
      </w:r>
    </w:p>
    <w:p w14:paraId="65A3EA48" w14:textId="0B3B93C6" w:rsidR="008857A1" w:rsidRDefault="008857A1" w:rsidP="00CE0424">
      <w:pPr>
        <w:pStyle w:val="BodyText"/>
      </w:pPr>
      <w:proofErr w:type="gramStart"/>
      <w:r>
        <w:t>It is clear that phased</w:t>
      </w:r>
      <w:proofErr w:type="gramEnd"/>
      <w:r>
        <w:t xml:space="preserve"> introduction of EN-DC and standalone NR will bring some additional overhead to the RRC as each used extension bracket costs 3 octets. In many cases, additional overhead cannot be avoided as SA NR is not stable enough to be added to the RRC specification before ASN.1 review. </w:t>
      </w:r>
    </w:p>
    <w:p w14:paraId="07A0B7B9" w14:textId="071DD290" w:rsidR="008857A1" w:rsidRDefault="008857A1" w:rsidP="00CE0424">
      <w:pPr>
        <w:pStyle w:val="BodyText"/>
      </w:pPr>
      <w:r>
        <w:t xml:space="preserve">However, there are some rather simple parameters that have been agreed already which addition should be rather straightforward. Adding those parameters now to EN-DC </w:t>
      </w:r>
      <w:r w:rsidR="006B29B8">
        <w:t xml:space="preserve">CR </w:t>
      </w:r>
      <w:r>
        <w:t>would save</w:t>
      </w:r>
      <w:r w:rsidR="006B29B8">
        <w:t xml:space="preserve"> some</w:t>
      </w:r>
      <w:r>
        <w:t xml:space="preserve"> overhead as well as </w:t>
      </w:r>
      <w:r>
        <w:lastRenderedPageBreak/>
        <w:t>make signalling structure cleaner. Esp</w:t>
      </w:r>
      <w:r w:rsidR="003209EA">
        <w:t>e</w:t>
      </w:r>
      <w:r>
        <w:t xml:space="preserve">cially, the following parameters could </w:t>
      </w:r>
      <w:proofErr w:type="gramStart"/>
      <w:r>
        <w:t>be considered to be</w:t>
      </w:r>
      <w:proofErr w:type="gramEnd"/>
      <w:r>
        <w:t xml:space="preserve"> added to </w:t>
      </w:r>
      <w:r w:rsidR="00E1383A">
        <w:t xml:space="preserve">the </w:t>
      </w:r>
      <w:r>
        <w:t>EN-DC running CR:</w:t>
      </w:r>
    </w:p>
    <w:p w14:paraId="5C906A72" w14:textId="3276E096" w:rsidR="008857A1" w:rsidRDefault="008857A1" w:rsidP="008857A1">
      <w:pPr>
        <w:pStyle w:val="BodyText"/>
        <w:numPr>
          <w:ilvl w:val="0"/>
          <w:numId w:val="23"/>
        </w:numPr>
      </w:pPr>
      <w:r>
        <w:t>MCG configuration</w:t>
      </w:r>
    </w:p>
    <w:p w14:paraId="5483A5C8" w14:textId="77777777" w:rsidR="008857A1" w:rsidRDefault="008857A1" w:rsidP="008857A1">
      <w:pPr>
        <w:pStyle w:val="BodyText"/>
        <w:numPr>
          <w:ilvl w:val="0"/>
          <w:numId w:val="23"/>
        </w:numPr>
      </w:pPr>
      <w:proofErr w:type="spellStart"/>
      <w:r>
        <w:t>fullConfig</w:t>
      </w:r>
      <w:proofErr w:type="spellEnd"/>
    </w:p>
    <w:p w14:paraId="3F592987" w14:textId="67557558" w:rsidR="008857A1" w:rsidRDefault="008857A1" w:rsidP="008857A1">
      <w:pPr>
        <w:pStyle w:val="BodyText"/>
        <w:numPr>
          <w:ilvl w:val="0"/>
          <w:numId w:val="23"/>
        </w:numPr>
      </w:pPr>
      <w:r>
        <w:t>for DRBs, ciphering on/off (as agreed in RAN2#101bis)</w:t>
      </w:r>
    </w:p>
    <w:p w14:paraId="4475B521" w14:textId="3C25DBA7" w:rsidR="008857A1" w:rsidRDefault="008857A1" w:rsidP="008857A1">
      <w:pPr>
        <w:pStyle w:val="BodyText"/>
      </w:pPr>
    </w:p>
    <w:p w14:paraId="13685CB4" w14:textId="56C73143" w:rsidR="008857A1" w:rsidRDefault="008857A1" w:rsidP="008857A1">
      <w:pPr>
        <w:pStyle w:val="Proposal"/>
      </w:pPr>
      <w:bookmarkStart w:id="1" w:name="_Toc513741018"/>
      <w:r>
        <w:t xml:space="preserve">Consider </w:t>
      </w:r>
      <w:proofErr w:type="gramStart"/>
      <w:r>
        <w:t>to include</w:t>
      </w:r>
      <w:proofErr w:type="gramEnd"/>
      <w:r>
        <w:t xml:space="preserve"> some limited</w:t>
      </w:r>
      <w:r w:rsidR="00E1383A">
        <w:t xml:space="preserve"> and stable</w:t>
      </w:r>
      <w:r>
        <w:t xml:space="preserve"> SA parameters in the EN-DC CR. Those are MCG configuration, </w:t>
      </w:r>
      <w:proofErr w:type="spellStart"/>
      <w:r>
        <w:t>fullConfig</w:t>
      </w:r>
      <w:proofErr w:type="spellEnd"/>
      <w:r>
        <w:t xml:space="preserve"> and ciphering per DRB</w:t>
      </w:r>
      <w:r w:rsidR="00E1383A">
        <w:t>.</w:t>
      </w:r>
      <w:bookmarkEnd w:id="1"/>
    </w:p>
    <w:p w14:paraId="397D9DBA" w14:textId="4D411005" w:rsidR="00727424" w:rsidRDefault="00727424" w:rsidP="00CE0424">
      <w:pPr>
        <w:pStyle w:val="BodyText"/>
      </w:pPr>
    </w:p>
    <w:p w14:paraId="10A5164D" w14:textId="11F44653" w:rsidR="006E1C82" w:rsidRPr="00016649" w:rsidRDefault="00C01F33" w:rsidP="00016649">
      <w:pPr>
        <w:pStyle w:val="Heading1"/>
      </w:pPr>
      <w:r w:rsidRPr="00CE0424">
        <w:t>Conclusion</w:t>
      </w:r>
    </w:p>
    <w:p w14:paraId="28553B7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F0EC395" w14:textId="77777777" w:rsidR="00E1383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3741017" w:history="1">
        <w:r w:rsidR="00E1383A" w:rsidRPr="00A20CF0">
          <w:rPr>
            <w:rStyle w:val="Hyperlink"/>
            <w:noProof/>
          </w:rPr>
          <w:t>Proposal 1</w:t>
        </w:r>
        <w:r w:rsidR="00E138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1383A" w:rsidRPr="00A20CF0">
          <w:rPr>
            <w:rStyle w:val="Hyperlink"/>
            <w:noProof/>
          </w:rPr>
          <w:t>Confirm that standalone NR is added in backwards compatible manner to RRC specification (implying that non-critical extensions and extension brackets are used)</w:t>
        </w:r>
      </w:hyperlink>
    </w:p>
    <w:p w14:paraId="4471F169" w14:textId="77777777" w:rsidR="00E1383A" w:rsidRDefault="00942AE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13741018" w:history="1">
        <w:r w:rsidR="00E1383A" w:rsidRPr="00A20CF0">
          <w:rPr>
            <w:rStyle w:val="Hyperlink"/>
            <w:noProof/>
          </w:rPr>
          <w:t>Proposal 2</w:t>
        </w:r>
        <w:r w:rsidR="00E138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E1383A" w:rsidRPr="00A20CF0">
          <w:rPr>
            <w:rStyle w:val="Hyperlink"/>
            <w:noProof/>
          </w:rPr>
          <w:t>Consider to include some limited and stable SA parameters in the EN-DC CR. Those are MCG configuration, fullConfig and ciphering per DRB.</w:t>
        </w:r>
      </w:hyperlink>
    </w:p>
    <w:p w14:paraId="092A5D52" w14:textId="55B4AAF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B08453C" w14:textId="77777777" w:rsidR="00C01F33" w:rsidRPr="00CE0424" w:rsidRDefault="00C01F33" w:rsidP="006E062C"/>
    <w:p w14:paraId="3754F932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51E8CA4E" w14:textId="376672B8" w:rsidR="001D3EA4" w:rsidRDefault="001D3EA4" w:rsidP="00311702">
      <w:pPr>
        <w:pStyle w:val="Reference"/>
      </w:pPr>
      <w:bookmarkStart w:id="3" w:name="_Ref174151459"/>
      <w:bookmarkStart w:id="4" w:name="_Ref189809556"/>
      <w:r w:rsidRPr="001D3EA4">
        <w:t>R2-1805569</w:t>
      </w:r>
      <w:r>
        <w:t xml:space="preserve">, </w:t>
      </w:r>
      <w:r w:rsidRPr="001D3EA4">
        <w:rPr>
          <w:sz w:val="22"/>
          <w:szCs w:val="22"/>
        </w:rPr>
        <w:t>RRC CR handling towards end of Rel-15</w:t>
      </w:r>
      <w:r w:rsidR="005F3025" w:rsidRPr="00CE0424">
        <w:t>,</w:t>
      </w:r>
      <w:r>
        <w:t xml:space="preserve"> Ericsson, RAN2101bis, April 2018</w:t>
      </w:r>
    </w:p>
    <w:p w14:paraId="704BD45C" w14:textId="48B1B6E2" w:rsidR="00016649" w:rsidRDefault="00016649" w:rsidP="00016649">
      <w:pPr>
        <w:pStyle w:val="Reference"/>
        <w:numPr>
          <w:ilvl w:val="0"/>
          <w:numId w:val="0"/>
        </w:numPr>
        <w:ind w:left="567" w:hanging="567"/>
      </w:pPr>
    </w:p>
    <w:p w14:paraId="64C1D7BD" w14:textId="77777777" w:rsidR="00016649" w:rsidRDefault="00016649" w:rsidP="00016649">
      <w:pPr>
        <w:pStyle w:val="Reference"/>
        <w:numPr>
          <w:ilvl w:val="0"/>
          <w:numId w:val="0"/>
        </w:numPr>
        <w:ind w:left="567" w:hanging="567"/>
      </w:pPr>
      <w:bookmarkStart w:id="5" w:name="_GoBack"/>
      <w:bookmarkEnd w:id="5"/>
    </w:p>
    <w:bookmarkEnd w:id="3"/>
    <w:bookmarkEnd w:id="4"/>
    <w:p w14:paraId="7BCF5B97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2E5BC" w14:textId="77777777" w:rsidR="00942AE2" w:rsidRDefault="00942AE2">
      <w:r>
        <w:separator/>
      </w:r>
    </w:p>
  </w:endnote>
  <w:endnote w:type="continuationSeparator" w:id="0">
    <w:p w14:paraId="4A3849C4" w14:textId="77777777" w:rsidR="00942AE2" w:rsidRDefault="0094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1913F" w14:textId="565F36F5" w:rsidR="00727424" w:rsidRDefault="007274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66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664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01C93" w14:textId="77777777" w:rsidR="00942AE2" w:rsidRDefault="00942AE2">
      <w:r>
        <w:separator/>
      </w:r>
    </w:p>
  </w:footnote>
  <w:footnote w:type="continuationSeparator" w:id="0">
    <w:p w14:paraId="75C0AECD" w14:textId="77777777" w:rsidR="00942AE2" w:rsidRDefault="0094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158" w14:textId="77777777" w:rsidR="00727424" w:rsidRDefault="007274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464B15"/>
    <w:multiLevelType w:val="hybridMultilevel"/>
    <w:tmpl w:val="438A5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EA4"/>
    <w:rsid w:val="000006E1"/>
    <w:rsid w:val="00002A37"/>
    <w:rsid w:val="0000564C"/>
    <w:rsid w:val="00006446"/>
    <w:rsid w:val="00006896"/>
    <w:rsid w:val="00007CDC"/>
    <w:rsid w:val="00011B28"/>
    <w:rsid w:val="00015D15"/>
    <w:rsid w:val="0001664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8C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3EA4"/>
    <w:rsid w:val="001D51BA"/>
    <w:rsid w:val="001D53E7"/>
    <w:rsid w:val="001D6342"/>
    <w:rsid w:val="001D6D53"/>
    <w:rsid w:val="001D7445"/>
    <w:rsid w:val="001E58E2"/>
    <w:rsid w:val="001E7AED"/>
    <w:rsid w:val="001F3916"/>
    <w:rsid w:val="001F54C5"/>
    <w:rsid w:val="001F662C"/>
    <w:rsid w:val="001F7074"/>
    <w:rsid w:val="001F77CD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0E3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9EA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25F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5EB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6F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5FB7"/>
    <w:rsid w:val="004B6F6A"/>
    <w:rsid w:val="004B7C0C"/>
    <w:rsid w:val="004C3898"/>
    <w:rsid w:val="004D0CE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8DB"/>
    <w:rsid w:val="005D1602"/>
    <w:rsid w:val="005E385F"/>
    <w:rsid w:val="005E5B81"/>
    <w:rsid w:val="005F2CB1"/>
    <w:rsid w:val="005F3025"/>
    <w:rsid w:val="005F618C"/>
    <w:rsid w:val="005F70BD"/>
    <w:rsid w:val="0060283C"/>
    <w:rsid w:val="0060478D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F3D"/>
    <w:rsid w:val="006A46FB"/>
    <w:rsid w:val="006A5E28"/>
    <w:rsid w:val="006A697B"/>
    <w:rsid w:val="006A7AFF"/>
    <w:rsid w:val="006B1816"/>
    <w:rsid w:val="006B2099"/>
    <w:rsid w:val="006B29B8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424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AD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7A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5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6D9F"/>
    <w:rsid w:val="00941636"/>
    <w:rsid w:val="00942AE2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CB9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3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383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1FBC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CCBE8"/>
  <w15:chartTrackingRefBased/>
  <w15:docId w15:val="{59735A7F-219F-4871-B20E-416DD012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66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0166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166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66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66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66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66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166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66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664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66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6649"/>
  </w:style>
  <w:style w:type="paragraph" w:styleId="TOC8">
    <w:name w:val="toc 8"/>
    <w:basedOn w:val="TOC1"/>
    <w:uiPriority w:val="39"/>
    <w:rsid w:val="000166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66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166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1664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16649"/>
    <w:pPr>
      <w:ind w:left="1701" w:hanging="1701"/>
    </w:pPr>
  </w:style>
  <w:style w:type="paragraph" w:styleId="TOC4">
    <w:name w:val="toc 4"/>
    <w:basedOn w:val="TOC3"/>
    <w:uiPriority w:val="39"/>
    <w:rsid w:val="00016649"/>
    <w:pPr>
      <w:ind w:left="1418" w:hanging="1418"/>
    </w:pPr>
  </w:style>
  <w:style w:type="paragraph" w:styleId="TOC3">
    <w:name w:val="toc 3"/>
    <w:basedOn w:val="TOC2"/>
    <w:uiPriority w:val="39"/>
    <w:rsid w:val="00016649"/>
    <w:pPr>
      <w:ind w:left="1134" w:hanging="1134"/>
    </w:pPr>
  </w:style>
  <w:style w:type="paragraph" w:styleId="TOC2">
    <w:name w:val="toc 2"/>
    <w:basedOn w:val="TOC1"/>
    <w:uiPriority w:val="39"/>
    <w:rsid w:val="000166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16649"/>
    <w:pPr>
      <w:ind w:left="284"/>
    </w:pPr>
  </w:style>
  <w:style w:type="paragraph" w:styleId="Index1">
    <w:name w:val="index 1"/>
    <w:basedOn w:val="Normal"/>
    <w:rsid w:val="00016649"/>
    <w:pPr>
      <w:keepLines/>
      <w:spacing w:after="0"/>
    </w:pPr>
  </w:style>
  <w:style w:type="paragraph" w:styleId="DocumentMap">
    <w:name w:val="Document Map"/>
    <w:basedOn w:val="Normal"/>
    <w:link w:val="DocumentMapChar"/>
    <w:rsid w:val="000166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16649"/>
    <w:pPr>
      <w:numPr>
        <w:numId w:val="22"/>
      </w:numPr>
    </w:pPr>
  </w:style>
  <w:style w:type="paragraph" w:styleId="ListNumber">
    <w:name w:val="List Number"/>
    <w:basedOn w:val="List"/>
    <w:rsid w:val="0001664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16649"/>
    <w:pPr>
      <w:ind w:left="568" w:hanging="284"/>
    </w:pPr>
  </w:style>
  <w:style w:type="paragraph" w:styleId="Header">
    <w:name w:val="header"/>
    <w:link w:val="HeaderChar"/>
    <w:rsid w:val="000166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166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664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166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16649"/>
    <w:pPr>
      <w:ind w:left="1418" w:hanging="1418"/>
    </w:pPr>
  </w:style>
  <w:style w:type="paragraph" w:styleId="TOC6">
    <w:name w:val="toc 6"/>
    <w:basedOn w:val="TOC5"/>
    <w:next w:val="Normal"/>
    <w:uiPriority w:val="39"/>
    <w:rsid w:val="00016649"/>
    <w:pPr>
      <w:ind w:left="1985" w:hanging="1985"/>
    </w:pPr>
  </w:style>
  <w:style w:type="paragraph" w:styleId="TOC7">
    <w:name w:val="toc 7"/>
    <w:basedOn w:val="TOC6"/>
    <w:next w:val="Normal"/>
    <w:uiPriority w:val="39"/>
    <w:rsid w:val="00016649"/>
    <w:pPr>
      <w:ind w:left="2268" w:hanging="2268"/>
    </w:pPr>
  </w:style>
  <w:style w:type="paragraph" w:styleId="ListBullet2">
    <w:name w:val="List Bullet 2"/>
    <w:basedOn w:val="ListBullet"/>
    <w:rsid w:val="00016649"/>
    <w:pPr>
      <w:numPr>
        <w:numId w:val="17"/>
      </w:numPr>
    </w:pPr>
  </w:style>
  <w:style w:type="paragraph" w:styleId="ListBullet">
    <w:name w:val="List Bullet"/>
    <w:basedOn w:val="List"/>
    <w:rsid w:val="0001664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16649"/>
    <w:pPr>
      <w:numPr>
        <w:numId w:val="18"/>
      </w:numPr>
    </w:pPr>
  </w:style>
  <w:style w:type="paragraph" w:customStyle="1" w:styleId="EQ">
    <w:name w:val="EQ"/>
    <w:basedOn w:val="Normal"/>
    <w:next w:val="Normal"/>
    <w:rsid w:val="0001664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16649"/>
    <w:pPr>
      <w:ind w:left="851"/>
    </w:pPr>
    <w:rPr>
      <w:lang w:eastAsia="ja-JP"/>
    </w:rPr>
  </w:style>
  <w:style w:type="paragraph" w:styleId="List3">
    <w:name w:val="List 3"/>
    <w:basedOn w:val="List2"/>
    <w:rsid w:val="00016649"/>
    <w:pPr>
      <w:ind w:left="1135"/>
    </w:pPr>
  </w:style>
  <w:style w:type="paragraph" w:styleId="List4">
    <w:name w:val="List 4"/>
    <w:basedOn w:val="List3"/>
    <w:rsid w:val="00016649"/>
    <w:pPr>
      <w:ind w:left="1418"/>
    </w:pPr>
  </w:style>
  <w:style w:type="paragraph" w:styleId="List5">
    <w:name w:val="List 5"/>
    <w:basedOn w:val="List4"/>
    <w:rsid w:val="00016649"/>
    <w:pPr>
      <w:ind w:left="1702"/>
    </w:pPr>
  </w:style>
  <w:style w:type="paragraph" w:customStyle="1" w:styleId="EditorsNote">
    <w:name w:val="Editor's Note"/>
    <w:basedOn w:val="NO"/>
    <w:link w:val="EditorsNoteChar"/>
    <w:rsid w:val="00016649"/>
    <w:rPr>
      <w:color w:val="FF0000"/>
      <w:lang w:val="x-none" w:eastAsia="x-none"/>
    </w:rPr>
  </w:style>
  <w:style w:type="paragraph" w:styleId="ListBullet4">
    <w:name w:val="List Bullet 4"/>
    <w:basedOn w:val="ListBullet3"/>
    <w:rsid w:val="00016649"/>
    <w:pPr>
      <w:numPr>
        <w:numId w:val="19"/>
      </w:numPr>
    </w:pPr>
  </w:style>
  <w:style w:type="paragraph" w:styleId="ListBullet5">
    <w:name w:val="List Bullet 5"/>
    <w:basedOn w:val="ListBullet4"/>
    <w:rsid w:val="00016649"/>
    <w:pPr>
      <w:numPr>
        <w:numId w:val="20"/>
      </w:numPr>
    </w:pPr>
  </w:style>
  <w:style w:type="paragraph" w:styleId="Footer">
    <w:name w:val="footer"/>
    <w:basedOn w:val="Header"/>
    <w:link w:val="FooterChar"/>
    <w:rsid w:val="00016649"/>
    <w:pPr>
      <w:jc w:val="center"/>
    </w:pPr>
    <w:rPr>
      <w:i/>
    </w:rPr>
  </w:style>
  <w:style w:type="paragraph" w:customStyle="1" w:styleId="Reference">
    <w:name w:val="Reference"/>
    <w:basedOn w:val="BodyText"/>
    <w:rsid w:val="0001664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1664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16649"/>
  </w:style>
  <w:style w:type="paragraph" w:styleId="BodyText">
    <w:name w:val="Body Text"/>
    <w:basedOn w:val="Normal"/>
    <w:link w:val="BodyTextChar"/>
    <w:rsid w:val="0001664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16649"/>
    <w:rPr>
      <w:color w:val="0000FF"/>
      <w:u w:val="single"/>
    </w:rPr>
  </w:style>
  <w:style w:type="character" w:styleId="FollowedHyperlink">
    <w:name w:val="FollowedHyperlink"/>
    <w:unhideWhenUsed/>
    <w:rsid w:val="00016649"/>
    <w:rPr>
      <w:color w:val="800080"/>
      <w:u w:val="single"/>
    </w:rPr>
  </w:style>
  <w:style w:type="character" w:styleId="CommentReference">
    <w:name w:val="annotation reference"/>
    <w:uiPriority w:val="99"/>
    <w:qFormat/>
    <w:rsid w:val="00016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16649"/>
  </w:style>
  <w:style w:type="paragraph" w:styleId="CommentSubject">
    <w:name w:val="annotation subject"/>
    <w:basedOn w:val="CommentText"/>
    <w:next w:val="CommentText"/>
    <w:link w:val="CommentSubjectChar"/>
    <w:rsid w:val="00016649"/>
    <w:rPr>
      <w:b/>
      <w:bCs/>
    </w:rPr>
  </w:style>
  <w:style w:type="character" w:customStyle="1" w:styleId="Heading1Char">
    <w:name w:val="Heading 1 Char"/>
    <w:link w:val="Heading1"/>
    <w:rsid w:val="0001664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1664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1664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1664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16649"/>
    <w:rPr>
      <w:rFonts w:ascii="Times New Roman" w:hAnsi="Times New Roman"/>
    </w:rPr>
  </w:style>
  <w:style w:type="paragraph" w:customStyle="1" w:styleId="Proposal">
    <w:name w:val="Proposal"/>
    <w:basedOn w:val="BodyText"/>
    <w:rsid w:val="000166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1664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16649"/>
    <w:rPr>
      <w:rFonts w:ascii="Times New Roman" w:hAnsi="Times New Roman"/>
    </w:rPr>
  </w:style>
  <w:style w:type="paragraph" w:customStyle="1" w:styleId="EX">
    <w:name w:val="EX"/>
    <w:basedOn w:val="Normal"/>
    <w:rsid w:val="00016649"/>
    <w:pPr>
      <w:keepLines/>
      <w:ind w:left="1702" w:hanging="1418"/>
    </w:pPr>
  </w:style>
  <w:style w:type="paragraph" w:customStyle="1" w:styleId="EW">
    <w:name w:val="EW"/>
    <w:basedOn w:val="EX"/>
    <w:rsid w:val="00016649"/>
    <w:pPr>
      <w:spacing w:after="0"/>
    </w:pPr>
  </w:style>
  <w:style w:type="paragraph" w:customStyle="1" w:styleId="TAL">
    <w:name w:val="TAL"/>
    <w:basedOn w:val="Normal"/>
    <w:link w:val="TALCar"/>
    <w:rsid w:val="0001664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16649"/>
    <w:pPr>
      <w:jc w:val="center"/>
    </w:pPr>
  </w:style>
  <w:style w:type="paragraph" w:customStyle="1" w:styleId="TAH">
    <w:name w:val="TAH"/>
    <w:basedOn w:val="TAC"/>
    <w:link w:val="TAHCar"/>
    <w:rsid w:val="00016649"/>
    <w:rPr>
      <w:b/>
    </w:rPr>
  </w:style>
  <w:style w:type="paragraph" w:customStyle="1" w:styleId="TAN">
    <w:name w:val="TAN"/>
    <w:basedOn w:val="TAL"/>
    <w:rsid w:val="00016649"/>
    <w:pPr>
      <w:ind w:left="851" w:hanging="851"/>
    </w:pPr>
  </w:style>
  <w:style w:type="paragraph" w:customStyle="1" w:styleId="TAR">
    <w:name w:val="TAR"/>
    <w:basedOn w:val="TAL"/>
    <w:rsid w:val="00016649"/>
    <w:pPr>
      <w:jc w:val="right"/>
    </w:pPr>
  </w:style>
  <w:style w:type="paragraph" w:customStyle="1" w:styleId="TH">
    <w:name w:val="TH"/>
    <w:basedOn w:val="Normal"/>
    <w:link w:val="THChar"/>
    <w:rsid w:val="0001664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166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16649"/>
    <w:pPr>
      <w:outlineLvl w:val="9"/>
    </w:pPr>
  </w:style>
  <w:style w:type="paragraph" w:customStyle="1" w:styleId="ZA">
    <w:name w:val="ZA"/>
    <w:rsid w:val="000166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166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166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166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16649"/>
  </w:style>
  <w:style w:type="paragraph" w:customStyle="1" w:styleId="ZH">
    <w:name w:val="ZH"/>
    <w:rsid w:val="000166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166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166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166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16649"/>
    <w:pPr>
      <w:framePr w:wrap="notBeside" w:y="16161"/>
    </w:pPr>
  </w:style>
  <w:style w:type="paragraph" w:customStyle="1" w:styleId="FP">
    <w:name w:val="FP"/>
    <w:basedOn w:val="Normal"/>
    <w:rsid w:val="00016649"/>
    <w:pPr>
      <w:spacing w:after="0"/>
    </w:pPr>
  </w:style>
  <w:style w:type="paragraph" w:customStyle="1" w:styleId="Observation">
    <w:name w:val="Observation"/>
    <w:basedOn w:val="Proposal"/>
    <w:qFormat/>
    <w:rsid w:val="0001664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1664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1664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1664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1664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1664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1664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16649"/>
    <w:pPr>
      <w:ind w:left="1985"/>
    </w:pPr>
  </w:style>
  <w:style w:type="character" w:customStyle="1" w:styleId="B6Char">
    <w:name w:val="B6 Char"/>
    <w:link w:val="B6"/>
    <w:rsid w:val="0001664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16649"/>
    <w:pPr>
      <w:ind w:left="2269"/>
    </w:pPr>
  </w:style>
  <w:style w:type="character" w:customStyle="1" w:styleId="B7Char">
    <w:name w:val="B7 Char"/>
    <w:basedOn w:val="B6Char"/>
    <w:link w:val="B7"/>
    <w:rsid w:val="0001664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16649"/>
    <w:pPr>
      <w:ind w:left="2552"/>
    </w:pPr>
  </w:style>
  <w:style w:type="character" w:customStyle="1" w:styleId="BalloonTextChar">
    <w:name w:val="Balloon Text Char"/>
    <w:link w:val="BalloonText"/>
    <w:rsid w:val="0001664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1664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1664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1664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1664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1664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1664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1664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16649"/>
    <w:pPr>
      <w:keepLines/>
      <w:ind w:left="1135" w:hanging="851"/>
    </w:pPr>
  </w:style>
  <w:style w:type="character" w:customStyle="1" w:styleId="NOChar">
    <w:name w:val="NO Char"/>
    <w:link w:val="NO"/>
    <w:qFormat/>
    <w:rsid w:val="0001664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1664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1664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16649"/>
    <w:rPr>
      <w:i/>
      <w:iCs/>
    </w:rPr>
  </w:style>
  <w:style w:type="paragraph" w:customStyle="1" w:styleId="FigureTitle">
    <w:name w:val="Figure_Title"/>
    <w:basedOn w:val="Normal"/>
    <w:next w:val="Normal"/>
    <w:rsid w:val="00016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1664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1664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1664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16649"/>
    <w:rPr>
      <w:i/>
      <w:color w:val="0000FF"/>
    </w:rPr>
  </w:style>
  <w:style w:type="character" w:customStyle="1" w:styleId="Heading2Char">
    <w:name w:val="Heading 2 Char"/>
    <w:link w:val="Heading2"/>
    <w:rsid w:val="0001664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1664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1664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1664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1664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1664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1664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1664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1664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1664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1664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166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664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0166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1664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16649"/>
    <w:pPr>
      <w:spacing w:after="0"/>
    </w:pPr>
  </w:style>
  <w:style w:type="paragraph" w:customStyle="1" w:styleId="PL">
    <w:name w:val="PL"/>
    <w:link w:val="PLChar"/>
    <w:qFormat/>
    <w:rsid w:val="0001664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1664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166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1664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16649"/>
    <w:rPr>
      <w:b/>
      <w:bCs/>
    </w:rPr>
  </w:style>
  <w:style w:type="table" w:styleId="TableGrid">
    <w:name w:val="Table Grid"/>
    <w:basedOn w:val="TableNormal"/>
    <w:uiPriority w:val="39"/>
    <w:rsid w:val="0001664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1664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1664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1664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16649"/>
  </w:style>
  <w:style w:type="paragraph" w:customStyle="1" w:styleId="TALCharChar">
    <w:name w:val="TAL Char Char"/>
    <w:basedOn w:val="Normal"/>
    <w:link w:val="TALCharCharChar"/>
    <w:rsid w:val="0001664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1664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1664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1664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1664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1664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5NUHHDQN7SK2-1476151046-22789</_dlc_DocId>
    <_dlc_DocIdUrl xmlns="f166a696-7b5b-4ccd-9f0c-ffde0cceec81">
      <Url>https://ericsson.sharepoint.com/sites/star/_layouts/15/DocIdRedir.aspx?ID=5NUHHDQN7SK2-1476151046-22789</Url>
      <Description>5NUHHDQN7SK2-1476151046-22789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2FBD-EEFE-403F-97FC-CCA3233856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BA35A-94A9-4EAA-999B-5F392F9147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21E311-BE43-4B6A-A64B-DD428E7B81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EAE205-E4A7-4EBB-A8F9-304E612DF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3EF2BA-B41B-4054-B751-2A4C5AF7140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A3631D2-8A49-404E-B4DF-83BBB511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27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Riikka Susitaival</dc:creator>
  <cp:keywords>3GPP; Ericsson; TDoc</cp:keywords>
  <dc:description/>
  <cp:lastModifiedBy>Ericsson User</cp:lastModifiedBy>
  <cp:revision>20</cp:revision>
  <cp:lastPrinted>2008-01-31T07:09:00Z</cp:lastPrinted>
  <dcterms:created xsi:type="dcterms:W3CDTF">2018-05-07T18:25:00Z</dcterms:created>
  <dcterms:modified xsi:type="dcterms:W3CDTF">2018-05-10T19:52:00Z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afbb157d-659f-4552-ab31-ffb98fb71055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